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5DBD9C79"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6509">
        <w:rPr>
          <w:bCs/>
          <w:noProof w:val="0"/>
          <w:sz w:val="24"/>
          <w:szCs w:val="24"/>
        </w:rPr>
        <w:t>5</w:t>
      </w:r>
      <w:r w:rsidR="00F74086">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EC515D">
        <w:rPr>
          <w:bCs/>
          <w:noProof w:val="0"/>
          <w:sz w:val="24"/>
          <w:szCs w:val="24"/>
        </w:rPr>
        <w:t>2805</w:t>
      </w:r>
    </w:p>
    <w:p w14:paraId="11776FA6" w14:textId="6F3D1F77" w:rsidR="00A209D6" w:rsidRPr="00465587" w:rsidRDefault="00F74086" w:rsidP="00A209D6">
      <w:pPr>
        <w:pStyle w:val="Header"/>
        <w:tabs>
          <w:tab w:val="right" w:pos="9639"/>
        </w:tabs>
        <w:rPr>
          <w:bCs/>
          <w:sz w:val="24"/>
          <w:szCs w:val="24"/>
          <w:lang w:eastAsia="zh-CN"/>
        </w:rPr>
      </w:pPr>
      <w:r>
        <w:rPr>
          <w:bCs/>
          <w:sz w:val="24"/>
          <w:szCs w:val="24"/>
          <w:lang w:eastAsia="zh-CN"/>
        </w:rPr>
        <w:t xml:space="preserve">Changsha, </w:t>
      </w:r>
      <w:r w:rsidR="00F70270">
        <w:rPr>
          <w:bCs/>
          <w:sz w:val="24"/>
          <w:szCs w:val="24"/>
          <w:lang w:eastAsia="zh-CN"/>
        </w:rPr>
        <w:t>China</w:t>
      </w:r>
      <w:r w:rsidR="003C2C5D">
        <w:rPr>
          <w:bCs/>
          <w:sz w:val="24"/>
          <w:szCs w:val="24"/>
          <w:lang w:eastAsia="zh-CN"/>
        </w:rPr>
        <w:t xml:space="preserve">, </w:t>
      </w:r>
      <w:r>
        <w:rPr>
          <w:bCs/>
          <w:sz w:val="24"/>
          <w:szCs w:val="24"/>
          <w:lang w:eastAsia="zh-CN"/>
        </w:rPr>
        <w:t>15</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April</w:t>
      </w:r>
      <w:r w:rsidR="00646509">
        <w:rPr>
          <w:bCs/>
          <w:sz w:val="24"/>
          <w:szCs w:val="24"/>
          <w:lang w:eastAsia="zh-CN"/>
        </w:rPr>
        <w:t xml:space="preserve"> – </w:t>
      </w:r>
      <w:r>
        <w:rPr>
          <w:bCs/>
          <w:sz w:val="24"/>
          <w:szCs w:val="24"/>
          <w:lang w:eastAsia="zh-CN"/>
        </w:rPr>
        <w:t>19</w:t>
      </w:r>
      <w:r w:rsidRPr="00F74086">
        <w:rPr>
          <w:bCs/>
          <w:sz w:val="24"/>
          <w:szCs w:val="24"/>
          <w:vertAlign w:val="superscript"/>
          <w:lang w:eastAsia="zh-CN"/>
        </w:rPr>
        <w:t>th</w:t>
      </w:r>
      <w:r w:rsidR="004624C7">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4A7E8B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D54EDD">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6587B9B"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C4BB9">
        <w:rPr>
          <w:rFonts w:eastAsia="SimSun"/>
          <w:b/>
          <w:bCs/>
          <w:sz w:val="24"/>
          <w:szCs w:val="20"/>
          <w:lang w:val="en-GB" w:eastAsia="en-US"/>
        </w:rPr>
        <w:t>Downlink Coverage Enhancement</w:t>
      </w:r>
      <w:r w:rsidR="00830B22" w:rsidRPr="00D64B1C">
        <w:rPr>
          <w:rFonts w:eastAsia="SimSun"/>
          <w:b/>
          <w:bCs/>
          <w:sz w:val="24"/>
          <w:szCs w:val="20"/>
          <w:lang w:val="en-GB" w:eastAsia="en-US"/>
        </w:rPr>
        <w:t xml:space="preserve"> </w:t>
      </w:r>
    </w:p>
    <w:p w14:paraId="1F147C23" w14:textId="1C37183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4C7ADCB1" w:rsidR="00F61EF6" w:rsidRDefault="003A1069" w:rsidP="00F61EF6">
      <w:r>
        <w:t xml:space="preserve">For Rel-19 NTN, one objective is </w:t>
      </w:r>
      <w:r w:rsidR="009A54FD">
        <w:t>to enhance DL coverage</w:t>
      </w:r>
      <w:r w:rsidR="008F4466">
        <w:t xml:space="preserve">. The detailed justification and objective in WID </w:t>
      </w:r>
      <w:r w:rsidR="00FD590E">
        <w:t>are</w:t>
      </w:r>
      <w:r w:rsidR="008F4466">
        <w:t xml:space="preserve"> provided as follows</w:t>
      </w:r>
      <w:r w:rsidR="00B46733">
        <w:t xml:space="preserve"> [1]</w:t>
      </w:r>
      <w:r w:rsidR="008F446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D1A5E6B" w14:textId="77777777" w:rsidR="009A54FD" w:rsidRPr="009A54FD" w:rsidRDefault="009A54FD" w:rsidP="009A54FD">
            <w:pPr>
              <w:overflowPunct w:val="0"/>
              <w:autoSpaceDE w:val="0"/>
              <w:autoSpaceDN w:val="0"/>
              <w:adjustRightInd w:val="0"/>
              <w:spacing w:after="0"/>
              <w:textAlignment w:val="baseline"/>
              <w:rPr>
                <w:rFonts w:ascii="Times New Roman" w:eastAsia="SimSun" w:hAnsi="Times New Roman" w:cs="Times New Roman"/>
                <w:bCs/>
                <w:szCs w:val="20"/>
                <w:lang w:val="en-GB"/>
              </w:rPr>
            </w:pPr>
            <w:r w:rsidRPr="009A54FD">
              <w:rPr>
                <w:rFonts w:ascii="Times New Roman" w:eastAsia="SimSun" w:hAnsi="Times New Roman" w:cs="Times New Roman"/>
                <w:bCs/>
                <w:szCs w:val="20"/>
                <w:lang w:val="en-GB"/>
              </w:rPr>
              <w:t xml:space="preserve">Offer optimized performance especially when addressing handset terminals (including smartphones with -5.5 </w:t>
            </w:r>
            <w:proofErr w:type="spellStart"/>
            <w:r w:rsidRPr="009A54FD">
              <w:rPr>
                <w:rFonts w:ascii="Times New Roman" w:eastAsia="SimSun" w:hAnsi="Times New Roman" w:cs="Times New Roman"/>
                <w:bCs/>
                <w:szCs w:val="20"/>
                <w:lang w:val="en-GB"/>
              </w:rPr>
              <w:t>dBi</w:t>
            </w:r>
            <w:proofErr w:type="spellEnd"/>
            <w:r w:rsidRPr="009A54FD">
              <w:rPr>
                <w:rFonts w:ascii="Times New Roman" w:eastAsia="SimSun" w:hAnsi="Times New Roman" w:cs="Times New Roman"/>
                <w:bCs/>
                <w:szCs w:val="20"/>
                <w:lang w:val="en-GB"/>
              </w:rPr>
              <w:t xml:space="preserve"> antenna gain) </w:t>
            </w:r>
            <w:proofErr w:type="spellStart"/>
            <w:r w:rsidRPr="009A54FD">
              <w:rPr>
                <w:rFonts w:ascii="Times New Roman" w:eastAsia="SimSun" w:hAnsi="Times New Roman" w:cs="Times New Roman"/>
                <w:bCs/>
                <w:szCs w:val="20"/>
                <w:lang w:val="en-GB"/>
              </w:rPr>
              <w:t>w.r.t.</w:t>
            </w:r>
            <w:proofErr w:type="spellEnd"/>
            <w:r w:rsidRPr="009A54FD">
              <w:rPr>
                <w:rFonts w:ascii="Times New Roman" w:eastAsia="SimSun" w:hAnsi="Times New Roman" w:cs="Times New Roman"/>
                <w:bCs/>
                <w:szCs w:val="20"/>
                <w:lang w:val="en-GB"/>
              </w:rPr>
              <w:t xml:space="preserve"> downlink coverage </w:t>
            </w:r>
            <w:r w:rsidRPr="009A54FD">
              <w:rPr>
                <w:rFonts w:ascii="Times New Roman" w:eastAsia="SimSun" w:hAnsi="Times New Roman" w:cs="Times New Roman"/>
                <w:iCs/>
                <w:szCs w:val="20"/>
                <w:lang w:val="en-GB"/>
              </w:rPr>
              <w:t>considering the NTN deployment constraints such as payload power limitation, large satellite</w:t>
            </w:r>
            <w:r w:rsidRPr="009A54FD">
              <w:rPr>
                <w:rFonts w:ascii="Times New Roman" w:eastAsia="SimSun" w:hAnsi="Times New Roman" w:cs="Times New Roman"/>
                <w:szCs w:val="20"/>
                <w:lang w:val="en-GB"/>
              </w:rPr>
              <w:t xml:space="preserve"> </w:t>
            </w:r>
            <w:r w:rsidRPr="009A54FD">
              <w:rPr>
                <w:rFonts w:ascii="Times New Roman" w:eastAsia="SimSun" w:hAnsi="Times New Roman" w:cs="Times New Roman"/>
                <w:iCs/>
                <w:szCs w:val="20"/>
                <w:lang w:val="en-GB"/>
              </w:rPr>
              <w:t xml:space="preserve">foot print and limited feeder link bandwidth. </w:t>
            </w:r>
            <w:r w:rsidRPr="009A54FD">
              <w:rPr>
                <w:rFonts w:ascii="Times New Roman" w:eastAsia="SimSun" w:hAnsi="Times New Roman" w:cs="Times New Roman"/>
                <w:szCs w:val="20"/>
              </w:rPr>
              <w:t xml:space="preserve">DL coverage enhancements are needed to accommodate satellite payload constraints which may be unable to have all its beams active with the « nominal » EIRP density per beam (see Section 6.1.1 in TR 38.821) at a given time due to limited power and limited feeder link bandwidth, while </w:t>
            </w:r>
            <w:r w:rsidRPr="009A54FD">
              <w:rPr>
                <w:rFonts w:ascii="Times New Roman" w:eastAsia="SimSun" w:hAnsi="Times New Roman" w:cs="Times New Roman"/>
                <w:bCs/>
                <w:szCs w:val="20"/>
                <w:lang w:val="en-GB"/>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77A536F0" w14:textId="77777777" w:rsidR="009A54FD" w:rsidRPr="009A54FD" w:rsidRDefault="009A54FD" w:rsidP="009A54FD">
            <w:pPr>
              <w:overflowPunct w:val="0"/>
              <w:autoSpaceDE w:val="0"/>
              <w:autoSpaceDN w:val="0"/>
              <w:adjustRightInd w:val="0"/>
              <w:spacing w:after="0"/>
              <w:textAlignment w:val="baseline"/>
              <w:rPr>
                <w:rFonts w:ascii="Times New Roman" w:eastAsia="SimSun" w:hAnsi="Times New Roman" w:cs="Times New Roman"/>
                <w:iCs/>
                <w:szCs w:val="20"/>
                <w:lang w:val="en-GB"/>
              </w:rPr>
            </w:pPr>
          </w:p>
          <w:p w14:paraId="18398FFF" w14:textId="77777777" w:rsidR="009A54FD" w:rsidRPr="009A54FD" w:rsidRDefault="009A54FD" w:rsidP="009A54FD">
            <w:pPr>
              <w:overflowPunct w:val="0"/>
              <w:autoSpaceDE w:val="0"/>
              <w:autoSpaceDN w:val="0"/>
              <w:adjustRightInd w:val="0"/>
              <w:textAlignment w:val="baseline"/>
              <w:rPr>
                <w:rFonts w:ascii="Times New Roman" w:eastAsia="SimSun" w:hAnsi="Times New Roman" w:cs="Times New Roman"/>
                <w:szCs w:val="20"/>
              </w:rPr>
            </w:pPr>
            <w:r w:rsidRPr="009A54FD">
              <w:rPr>
                <w:rFonts w:ascii="Times New Roman" w:eastAsia="SimSun" w:hAnsi="Times New Roman" w:cs="Times New Roman"/>
                <w:szCs w:val="20"/>
              </w:rPr>
              <w:t>DL coverage enhancements can be considered at both</w:t>
            </w:r>
          </w:p>
          <w:p w14:paraId="7355F862" w14:textId="77777777" w:rsidR="009A54FD" w:rsidRPr="009A54FD" w:rsidRDefault="009A54FD" w:rsidP="009A54FD">
            <w:pPr>
              <w:numPr>
                <w:ilvl w:val="0"/>
                <w:numId w:val="49"/>
              </w:numPr>
              <w:overflowPunct w:val="0"/>
              <w:autoSpaceDE w:val="0"/>
              <w:autoSpaceDN w:val="0"/>
              <w:adjustRightInd w:val="0"/>
              <w:spacing w:after="0"/>
              <w:textAlignment w:val="baseline"/>
              <w:rPr>
                <w:rFonts w:ascii="Times New Roman" w:eastAsia="SimSun" w:hAnsi="Times New Roman" w:cs="Times New Roman"/>
                <w:bCs/>
                <w:szCs w:val="20"/>
                <w:lang w:val="en-GB"/>
              </w:rPr>
            </w:pPr>
            <w:r w:rsidRPr="009A54FD">
              <w:rPr>
                <w:rFonts w:ascii="Times New Roman" w:eastAsia="SimSun" w:hAnsi="Times New Roman" w:cs="Times New Roman"/>
                <w:bCs/>
                <w:szCs w:val="20"/>
                <w:lang w:val="en-GB"/>
              </w:rPr>
              <w:t>Link level to improve the link margin of selected physical channels in order to accommodate the EIRP reduction</w:t>
            </w:r>
            <w:r w:rsidRPr="009A54FD">
              <w:rPr>
                <w:rFonts w:ascii="Times New Roman" w:eastAsia="SimSun" w:hAnsi="Times New Roman" w:cs="Times New Roman"/>
                <w:szCs w:val="20"/>
                <w:lang w:val="en-GB"/>
              </w:rPr>
              <w:t xml:space="preserve"> in FR1-NTN</w:t>
            </w:r>
            <w:r w:rsidRPr="009A54FD">
              <w:rPr>
                <w:rFonts w:ascii="Times New Roman" w:eastAsia="SimSun" w:hAnsi="Times New Roman" w:cs="Times New Roman"/>
                <w:bCs/>
                <w:szCs w:val="20"/>
                <w:lang w:val="en-GB"/>
              </w:rPr>
              <w:t>. A link margin improvement for physical channels (e.g. PDSCH and PDCCH) may be considered without impact on SSB design.</w:t>
            </w:r>
            <w:r w:rsidRPr="009A54FD" w:rsidDel="00BC6EE0">
              <w:rPr>
                <w:rFonts w:ascii="Times New Roman" w:eastAsia="SimSun" w:hAnsi="Times New Roman" w:cs="Times New Roman"/>
                <w:bCs/>
                <w:szCs w:val="20"/>
                <w:lang w:val="en-GB"/>
              </w:rPr>
              <w:t xml:space="preserve"> </w:t>
            </w:r>
          </w:p>
          <w:p w14:paraId="4426C422" w14:textId="77777777" w:rsidR="009A54FD" w:rsidRPr="009A54FD" w:rsidRDefault="009A54FD" w:rsidP="009A54FD">
            <w:pPr>
              <w:numPr>
                <w:ilvl w:val="0"/>
                <w:numId w:val="49"/>
              </w:numPr>
              <w:overflowPunct w:val="0"/>
              <w:autoSpaceDE w:val="0"/>
              <w:autoSpaceDN w:val="0"/>
              <w:adjustRightInd w:val="0"/>
              <w:spacing w:after="0"/>
              <w:textAlignment w:val="baseline"/>
              <w:rPr>
                <w:rFonts w:ascii="Times New Roman" w:eastAsia="SimSun" w:hAnsi="Times New Roman" w:cs="Times New Roman"/>
                <w:bCs/>
                <w:szCs w:val="20"/>
                <w:lang w:val="en-GB"/>
              </w:rPr>
            </w:pPr>
            <w:r w:rsidRPr="009A54FD">
              <w:rPr>
                <w:rFonts w:ascii="Times New Roman" w:eastAsia="SimSun" w:hAnsi="Times New Roman" w:cs="Times New Roman"/>
                <w:bCs/>
                <w:szCs w:val="20"/>
                <w:lang w:val="en-GB"/>
              </w:rPr>
              <w:t>System level to support an efficient dynamic and flexible power sharing between beams or different beam pattern/size (i.e., wide or narrow) across the satellite foot print</w:t>
            </w:r>
            <w:r w:rsidRPr="009A54FD">
              <w:rPr>
                <w:rFonts w:ascii="Times New Roman" w:eastAsia="SimSun" w:hAnsi="Times New Roman" w:cs="Times New Roman"/>
                <w:szCs w:val="20"/>
                <w:lang w:val="en-GB"/>
              </w:rPr>
              <w:t xml:space="preserve"> for FR1-NTN and FR2-NTN</w:t>
            </w:r>
            <w:r w:rsidRPr="009A54FD">
              <w:rPr>
                <w:rFonts w:ascii="Times New Roman" w:eastAsia="SimSun" w:hAnsi="Times New Roman" w:cs="Times New Roman"/>
                <w:bCs/>
                <w:szCs w:val="20"/>
                <w:lang w:val="en-GB"/>
              </w:rPr>
              <w:t>.</w:t>
            </w:r>
          </w:p>
          <w:p w14:paraId="78050776" w14:textId="77777777" w:rsidR="008F4466" w:rsidRDefault="008F4466" w:rsidP="009A54FD">
            <w:pPr>
              <w:widowControl w:val="0"/>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p>
          <w:p w14:paraId="77F35A02" w14:textId="77777777" w:rsidR="009A54FD" w:rsidRDefault="009A54FD" w:rsidP="009A54FD">
            <w:pPr>
              <w:overflowPunct w:val="0"/>
              <w:autoSpaceDE w:val="0"/>
              <w:autoSpaceDN w:val="0"/>
              <w:adjustRightInd w:val="0"/>
              <w:spacing w:after="0" w:line="276" w:lineRule="auto"/>
              <w:textAlignment w:val="baseline"/>
              <w:rPr>
                <w:rFonts w:ascii="Times New Roman" w:eastAsia="Calibri" w:hAnsi="Times New Roman" w:cs="Times New Roman"/>
                <w:szCs w:val="20"/>
                <w:lang w:eastAsia="ko-KR"/>
              </w:rPr>
            </w:pPr>
          </w:p>
          <w:p w14:paraId="7E01E9F2" w14:textId="515D00C5" w:rsidR="009A54FD" w:rsidRPr="009A54FD" w:rsidRDefault="009A54FD" w:rsidP="009A54FD">
            <w:pPr>
              <w:overflowPunct w:val="0"/>
              <w:autoSpaceDE w:val="0"/>
              <w:autoSpaceDN w:val="0"/>
              <w:adjustRightInd w:val="0"/>
              <w:spacing w:after="0" w:line="276" w:lineRule="auto"/>
              <w:textAlignment w:val="baseline"/>
              <w:rPr>
                <w:rFonts w:ascii="Times New Roman" w:eastAsia="Calibri" w:hAnsi="Times New Roman" w:cs="Times New Roman"/>
                <w:szCs w:val="20"/>
                <w:lang w:eastAsia="ko-KR"/>
              </w:rPr>
            </w:pPr>
            <w:r w:rsidRPr="009A54FD">
              <w:rPr>
                <w:rFonts w:ascii="Times New Roman" w:eastAsia="Calibri" w:hAnsi="Times New Roman" w:cs="Times New Roman"/>
                <w:szCs w:val="20"/>
                <w:highlight w:val="yellow"/>
                <w:lang w:eastAsia="ko-KR"/>
              </w:rPr>
              <w:t>Study and specify</w:t>
            </w:r>
            <w:bookmarkStart w:id="0" w:name="_Hlk153196886"/>
            <w:r w:rsidRPr="009A54FD">
              <w:rPr>
                <w:rFonts w:ascii="Times New Roman" w:eastAsia="Calibri" w:hAnsi="Times New Roman" w:cs="Times New Roman"/>
                <w:szCs w:val="20"/>
                <w:highlight w:val="yellow"/>
                <w:lang w:eastAsia="ko-KR"/>
              </w:rPr>
              <w:t xml:space="preserve"> if beneficial</w:t>
            </w:r>
            <w:bookmarkEnd w:id="0"/>
            <w:r w:rsidRPr="009A54FD">
              <w:rPr>
                <w:rFonts w:ascii="Times New Roman" w:eastAsia="Calibri" w:hAnsi="Times New Roman" w:cs="Times New Roman"/>
                <w:szCs w:val="20"/>
                <w:highlight w:val="yellow"/>
                <w:lang w:eastAsia="ko-KR"/>
              </w:rPr>
              <w:t xml:space="preserve"> downlink coverage enhancements</w:t>
            </w:r>
            <w:r w:rsidRPr="009A54FD">
              <w:rPr>
                <w:rFonts w:ascii="Times New Roman" w:eastAsia="Calibri" w:hAnsi="Times New Roman" w:cs="Times New Roman"/>
                <w:szCs w:val="20"/>
                <w:lang w:eastAsia="ko-KR"/>
              </w:rPr>
              <w:t xml:space="preserve"> targeting support for additional reference satellite payload parameters covering both GSO and NGSO constellations operating in FR1-NTN or FR2-NTN [RAN1, RAN2, RAN4]</w:t>
            </w:r>
          </w:p>
          <w:p w14:paraId="2A78E7D8" w14:textId="77777777" w:rsidR="009A54FD" w:rsidRPr="009A54FD" w:rsidRDefault="009A54FD" w:rsidP="009A54FD">
            <w:pPr>
              <w:widowControl w:val="0"/>
              <w:numPr>
                <w:ilvl w:val="0"/>
                <w:numId w:val="42"/>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B6317EA" w14:textId="77777777" w:rsidR="009A54FD" w:rsidRPr="009A54FD" w:rsidRDefault="009A54FD" w:rsidP="009A54FD">
            <w:pPr>
              <w:widowControl w:val="0"/>
              <w:numPr>
                <w:ilvl w:val="0"/>
                <w:numId w:val="42"/>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3997308" w14:textId="77777777" w:rsidR="009A54FD" w:rsidRPr="009A54FD" w:rsidRDefault="009A54FD" w:rsidP="009A54FD">
            <w:pPr>
              <w:widowControl w:val="0"/>
              <w:numPr>
                <w:ilvl w:val="0"/>
                <w:numId w:val="42"/>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0DEB9AB" w14:textId="77777777" w:rsidR="009A54FD" w:rsidRPr="009A54FD" w:rsidRDefault="009A54FD" w:rsidP="009A54FD">
            <w:pPr>
              <w:widowControl w:val="0"/>
              <w:numPr>
                <w:ilvl w:val="0"/>
                <w:numId w:val="42"/>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Notes for this objective:</w:t>
            </w:r>
          </w:p>
          <w:p w14:paraId="0B85C511" w14:textId="77777777" w:rsidR="009A54FD" w:rsidRPr="009A54FD" w:rsidRDefault="009A54FD" w:rsidP="009A54FD">
            <w:pPr>
              <w:widowControl w:val="0"/>
              <w:numPr>
                <w:ilvl w:val="1"/>
                <w:numId w:val="42"/>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SSB channel enhancement is not considered</w:t>
            </w:r>
          </w:p>
          <w:p w14:paraId="25E5DEE4" w14:textId="77777777" w:rsidR="009A54FD" w:rsidRPr="009A54FD" w:rsidRDefault="009A54FD" w:rsidP="009A54FD">
            <w:pPr>
              <w:widowControl w:val="0"/>
              <w:numPr>
                <w:ilvl w:val="1"/>
                <w:numId w:val="42"/>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Antenna gain of UE shall be assumed to be -5.5dBi in case of smartphone in FR1-NTN, the UE is assumed to be a full duplex UE, and at least 2Rx are considered at the UE</w:t>
            </w:r>
          </w:p>
          <w:p w14:paraId="7EA48FC4" w14:textId="77777777" w:rsidR="009A54FD" w:rsidRPr="009A54FD" w:rsidRDefault="009A54FD" w:rsidP="009A54FD">
            <w:pPr>
              <w:widowControl w:val="0"/>
              <w:numPr>
                <w:ilvl w:val="1"/>
                <w:numId w:val="42"/>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lastRenderedPageBreak/>
              <w:t>NGSO to be considered in priority: LEO Set-1 @ 600 km</w:t>
            </w:r>
          </w:p>
          <w:p w14:paraId="0A2C4239" w14:textId="77777777" w:rsidR="009A54FD" w:rsidRPr="009A54FD" w:rsidRDefault="009A54FD" w:rsidP="009A54FD">
            <w:pPr>
              <w:widowControl w:val="0"/>
              <w:numPr>
                <w:ilvl w:val="1"/>
                <w:numId w:val="42"/>
              </w:numPr>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r w:rsidRPr="009A54FD">
              <w:rPr>
                <w:rFonts w:ascii="Times New Roman" w:eastAsia="Calibri" w:hAnsi="Times New Roman" w:cs="Times New Roman"/>
                <w:szCs w:val="20"/>
                <w:lang w:eastAsia="zh-CN"/>
              </w:rPr>
              <w:t>Rel-18 network energy saving techniques should be considered as baseline in the system level study</w:t>
            </w:r>
          </w:p>
          <w:p w14:paraId="3F5AE005" w14:textId="21B6AC84" w:rsidR="009A54FD" w:rsidRPr="008F4466" w:rsidRDefault="009A54FD" w:rsidP="009A54FD">
            <w:pPr>
              <w:widowControl w:val="0"/>
              <w:overflowPunct w:val="0"/>
              <w:autoSpaceDE w:val="0"/>
              <w:autoSpaceDN w:val="0"/>
              <w:adjustRightInd w:val="0"/>
              <w:spacing w:after="0" w:line="276" w:lineRule="auto"/>
              <w:contextualSpacing/>
              <w:jc w:val="both"/>
              <w:textAlignment w:val="baseline"/>
              <w:rPr>
                <w:rFonts w:ascii="Times New Roman" w:eastAsia="Calibri" w:hAnsi="Times New Roman" w:cs="Times New Roman"/>
                <w:szCs w:val="20"/>
                <w:lang w:eastAsia="zh-CN"/>
              </w:rPr>
            </w:pPr>
          </w:p>
        </w:tc>
      </w:tr>
    </w:tbl>
    <w:p w14:paraId="2F01C903" w14:textId="0A5BFFC2" w:rsidR="00C25AEA" w:rsidRDefault="00C25AEA" w:rsidP="00F00A10"/>
    <w:p w14:paraId="66CEE32F" w14:textId="46ED398F" w:rsidR="00F00A10" w:rsidRPr="00F97E01" w:rsidRDefault="00C702D5" w:rsidP="00F00A10">
      <w:pPr>
        <w:rPr>
          <w:lang w:eastAsia="ko-KR"/>
        </w:rPr>
      </w:pPr>
      <w:r>
        <w:t xml:space="preserve">In this contribution, we </w:t>
      </w:r>
      <w:r w:rsidR="0049282E">
        <w:t>share</w:t>
      </w:r>
      <w:r>
        <w:t xml:space="preserve"> our views on this objective. </w:t>
      </w:r>
    </w:p>
    <w:p w14:paraId="51ABF603" w14:textId="0AB9DEFD" w:rsidR="00DC6A61" w:rsidRDefault="00DC6A61" w:rsidP="00B7538C">
      <w:pPr>
        <w:pStyle w:val="Heading1"/>
      </w:pPr>
      <w:r>
        <w:t>Discussion</w:t>
      </w:r>
    </w:p>
    <w:p w14:paraId="3CBD00D1" w14:textId="6DE311F1" w:rsidR="00470DC0" w:rsidRDefault="00470DC0" w:rsidP="002F3B06">
      <w:pPr>
        <w:spacing w:after="0"/>
        <w:rPr>
          <w:lang w:eastAsia="en-US"/>
        </w:rPr>
      </w:pPr>
      <w:r>
        <w:rPr>
          <w:lang w:eastAsia="en-US"/>
        </w:rPr>
        <w:t xml:space="preserve">According to the WID, DL coverage </w:t>
      </w:r>
      <w:r w:rsidR="00667782">
        <w:rPr>
          <w:lang w:eastAsia="en-US"/>
        </w:rPr>
        <w:t xml:space="preserve">performance is first studied with satellite parameters additional to what has been studied in Rel-16. Enhancements will be specified if beneficial and needed based on the study outcome. </w:t>
      </w:r>
    </w:p>
    <w:p w14:paraId="60B0C92B" w14:textId="77777777" w:rsidR="00667782" w:rsidRDefault="00667782" w:rsidP="002F3B06">
      <w:pPr>
        <w:spacing w:after="0"/>
        <w:rPr>
          <w:lang w:eastAsia="en-US"/>
        </w:rPr>
      </w:pPr>
    </w:p>
    <w:p w14:paraId="4C104C75" w14:textId="0D6D26A8" w:rsidR="002F3B06" w:rsidRDefault="009A54FD" w:rsidP="002F3B06">
      <w:pPr>
        <w:spacing w:after="0"/>
        <w:rPr>
          <w:lang w:eastAsia="en-US"/>
        </w:rPr>
      </w:pPr>
      <w:r>
        <w:rPr>
          <w:lang w:eastAsia="en-US"/>
        </w:rPr>
        <w:t xml:space="preserve">In RAN1#116 meeting, RAN1 has made </w:t>
      </w:r>
      <w:r w:rsidR="00AC3AD3">
        <w:rPr>
          <w:lang w:eastAsia="en-US"/>
        </w:rPr>
        <w:t xml:space="preserve">some </w:t>
      </w:r>
      <w:r>
        <w:rPr>
          <w:lang w:eastAsia="en-US"/>
        </w:rPr>
        <w:t xml:space="preserve">progress on the </w:t>
      </w:r>
      <w:r w:rsidR="005F18DF">
        <w:rPr>
          <w:lang w:eastAsia="en-US"/>
        </w:rPr>
        <w:t xml:space="preserve">system level and link level </w:t>
      </w:r>
      <w:r>
        <w:rPr>
          <w:lang w:eastAsia="en-US"/>
        </w:rPr>
        <w:t xml:space="preserve">study </w:t>
      </w:r>
      <w:r w:rsidR="005812CA">
        <w:rPr>
          <w:lang w:eastAsia="en-US"/>
        </w:rPr>
        <w:t>assumption</w:t>
      </w:r>
      <w:r w:rsidR="00470DC0">
        <w:rPr>
          <w:lang w:eastAsia="en-US"/>
        </w:rPr>
        <w:t>. Agreements have been made on performance e</w:t>
      </w:r>
      <w:r>
        <w:rPr>
          <w:lang w:eastAsia="en-US"/>
        </w:rPr>
        <w:t xml:space="preserve">valuation </w:t>
      </w:r>
      <w:r w:rsidR="00470DC0">
        <w:rPr>
          <w:lang w:eastAsia="en-US"/>
        </w:rPr>
        <w:t xml:space="preserve">aspects including </w:t>
      </w:r>
      <w:r>
        <w:rPr>
          <w:lang w:eastAsia="en-US"/>
        </w:rPr>
        <w:t>parameters, metrics</w:t>
      </w:r>
      <w:r w:rsidR="00470DC0">
        <w:rPr>
          <w:lang w:eastAsia="en-US"/>
        </w:rPr>
        <w:t>, and so on</w:t>
      </w:r>
      <w:r w:rsidR="00B46733">
        <w:rPr>
          <w:lang w:eastAsia="en-US"/>
        </w:rPr>
        <w:t xml:space="preserve"> [2]</w:t>
      </w:r>
      <w:r w:rsidR="00470DC0">
        <w:rPr>
          <w:lang w:eastAsia="en-US"/>
        </w:rPr>
        <w:t xml:space="preserve">. </w:t>
      </w:r>
    </w:p>
    <w:p w14:paraId="21ECAE70" w14:textId="0FECC127" w:rsidR="00470DC0" w:rsidRDefault="00470DC0" w:rsidP="002F3B06">
      <w:pPr>
        <w:spacing w:after="0"/>
        <w:rPr>
          <w:szCs w:val="20"/>
          <w:lang w:eastAsia="en-US"/>
        </w:rPr>
      </w:pPr>
    </w:p>
    <w:p w14:paraId="08BAAD11" w14:textId="6901F7E0" w:rsidR="00470DC0" w:rsidRDefault="00470DC0" w:rsidP="002F3B06">
      <w:pPr>
        <w:spacing w:after="0"/>
        <w:rPr>
          <w:szCs w:val="20"/>
          <w:lang w:eastAsia="en-US"/>
        </w:rPr>
      </w:pPr>
      <w:r>
        <w:rPr>
          <w:szCs w:val="20"/>
          <w:lang w:eastAsia="en-US"/>
        </w:rPr>
        <w:t>From RAN2 perspective, it is not clear at th</w:t>
      </w:r>
      <w:r w:rsidR="00667782">
        <w:rPr>
          <w:szCs w:val="20"/>
          <w:lang w:eastAsia="en-US"/>
        </w:rPr>
        <w:t>is</w:t>
      </w:r>
      <w:r>
        <w:rPr>
          <w:szCs w:val="20"/>
          <w:lang w:eastAsia="en-US"/>
        </w:rPr>
        <w:t xml:space="preserve"> early stage whether DL coverage enhancement is necessary</w:t>
      </w:r>
      <w:r w:rsidR="00667782">
        <w:rPr>
          <w:szCs w:val="20"/>
          <w:lang w:eastAsia="en-US"/>
        </w:rPr>
        <w:t>.</w:t>
      </w:r>
      <w:r>
        <w:rPr>
          <w:szCs w:val="20"/>
          <w:lang w:eastAsia="en-US"/>
        </w:rPr>
        <w:t xml:space="preserve"> </w:t>
      </w:r>
      <w:r w:rsidR="00667782">
        <w:rPr>
          <w:szCs w:val="20"/>
          <w:lang w:eastAsia="en-US"/>
        </w:rPr>
        <w:t>W</w:t>
      </w:r>
      <w:r>
        <w:rPr>
          <w:szCs w:val="20"/>
          <w:lang w:eastAsia="en-US"/>
        </w:rPr>
        <w:t xml:space="preserve">e can wait for RAN1 performance evaluation results and their assessment of the needed enhancements. Based on the RAN1 study outcome, RAN2 impacts will be discussed for potential enhancements if needed.  </w:t>
      </w:r>
    </w:p>
    <w:p w14:paraId="43375272" w14:textId="3C62C2EB" w:rsidR="00434BA3" w:rsidRDefault="00434BA3" w:rsidP="002F3B06">
      <w:pPr>
        <w:spacing w:after="0"/>
        <w:rPr>
          <w:szCs w:val="20"/>
          <w:lang w:eastAsia="en-US"/>
        </w:rPr>
      </w:pPr>
    </w:p>
    <w:p w14:paraId="33DC939A" w14:textId="1B48EE51" w:rsidR="00434BA3" w:rsidRDefault="00434BA3" w:rsidP="002F3B06">
      <w:pPr>
        <w:spacing w:after="0"/>
        <w:rPr>
          <w:b/>
          <w:szCs w:val="20"/>
          <w:lang w:eastAsia="en-US"/>
        </w:rPr>
      </w:pPr>
      <w:r w:rsidRPr="00434BA3">
        <w:rPr>
          <w:b/>
          <w:szCs w:val="20"/>
          <w:lang w:eastAsia="en-US"/>
        </w:rPr>
        <w:t xml:space="preserve">Proposal </w:t>
      </w:r>
      <w:r w:rsidR="00470DC0">
        <w:rPr>
          <w:b/>
          <w:szCs w:val="20"/>
          <w:lang w:eastAsia="en-US"/>
        </w:rPr>
        <w:t>1</w:t>
      </w:r>
      <w:r w:rsidRPr="00434BA3">
        <w:rPr>
          <w:b/>
          <w:szCs w:val="20"/>
          <w:lang w:eastAsia="en-US"/>
        </w:rPr>
        <w:t xml:space="preserve">: </w:t>
      </w:r>
      <w:r w:rsidR="00470DC0">
        <w:rPr>
          <w:b/>
          <w:szCs w:val="20"/>
          <w:lang w:eastAsia="en-US"/>
        </w:rPr>
        <w:t xml:space="preserve">RAN2 wait for RAN1 progress of DL coverage study, and discuss potential enhancement based on the study outcome. </w:t>
      </w:r>
    </w:p>
    <w:p w14:paraId="57EB493B" w14:textId="77777777" w:rsidR="00470DC0" w:rsidRPr="00434BA3" w:rsidRDefault="00470DC0" w:rsidP="002F3B06">
      <w:pPr>
        <w:spacing w:after="0"/>
        <w:rPr>
          <w:b/>
          <w:szCs w:val="20"/>
          <w:lang w:eastAsia="en-US"/>
        </w:rPr>
      </w:pPr>
    </w:p>
    <w:p w14:paraId="5A744C3D" w14:textId="3289D5B7" w:rsidR="00C83FC7" w:rsidRDefault="00667782" w:rsidP="002F3B06">
      <w:pPr>
        <w:rPr>
          <w:szCs w:val="20"/>
          <w:lang w:eastAsia="en-US"/>
        </w:rPr>
      </w:pPr>
      <w:r>
        <w:rPr>
          <w:szCs w:val="20"/>
          <w:lang w:eastAsia="en-US"/>
        </w:rPr>
        <w:t xml:space="preserve">Having said that, in our view the new aspect to be studied in Rel-19 DL coverage is the performance in the scenario that only limited number of active satellite beams are available due to limited power. </w:t>
      </w:r>
      <w:r w:rsidR="00E73F8A">
        <w:rPr>
          <w:szCs w:val="20"/>
          <w:lang w:eastAsia="en-US"/>
        </w:rPr>
        <w:t>Among the limited number of active satellite beams, some can serve the common signaling (e.g., system information, etc.) while others serve active user data</w:t>
      </w:r>
      <w:r w:rsidR="00F20A52">
        <w:rPr>
          <w:szCs w:val="20"/>
          <w:lang w:eastAsia="en-US"/>
        </w:rPr>
        <w:t xml:space="preserve"> (e.g., PDSCH, etc.)</w:t>
      </w:r>
      <w:r w:rsidR="00E73F8A">
        <w:rPr>
          <w:szCs w:val="20"/>
          <w:lang w:eastAsia="en-US"/>
        </w:rPr>
        <w:t xml:space="preserve">. </w:t>
      </w:r>
      <w:r w:rsidR="00F20A52">
        <w:rPr>
          <w:szCs w:val="20"/>
          <w:lang w:eastAsia="en-US"/>
        </w:rPr>
        <w:t xml:space="preserve">The pattern of active satellite beams could be adjusted to </w:t>
      </w:r>
      <w:r w:rsidR="00067C3C">
        <w:rPr>
          <w:szCs w:val="20"/>
          <w:lang w:eastAsia="en-US"/>
        </w:rPr>
        <w:t xml:space="preserve">accommodate </w:t>
      </w:r>
      <w:r w:rsidR="00F20A52">
        <w:rPr>
          <w:szCs w:val="20"/>
          <w:lang w:eastAsia="en-US"/>
        </w:rPr>
        <w:t xml:space="preserve">traffic. </w:t>
      </w:r>
    </w:p>
    <w:p w14:paraId="6BB6485D" w14:textId="18A36BE8" w:rsidR="002F3B06" w:rsidRDefault="00C83FC7" w:rsidP="002F3B06">
      <w:pPr>
        <w:rPr>
          <w:szCs w:val="20"/>
          <w:lang w:eastAsia="en-US"/>
        </w:rPr>
      </w:pPr>
      <w:r>
        <w:rPr>
          <w:szCs w:val="20"/>
          <w:lang w:eastAsia="en-US"/>
        </w:rPr>
        <w:t>One potential issue i</w:t>
      </w:r>
      <w:r w:rsidR="00E73F8A">
        <w:rPr>
          <w:szCs w:val="20"/>
          <w:lang w:eastAsia="en-US"/>
        </w:rPr>
        <w:t>n such scenario</w:t>
      </w:r>
      <w:r>
        <w:rPr>
          <w:szCs w:val="20"/>
          <w:lang w:eastAsia="en-US"/>
        </w:rPr>
        <w:t xml:space="preserve"> is that </w:t>
      </w:r>
      <w:r w:rsidR="00F20A52">
        <w:rPr>
          <w:szCs w:val="20"/>
          <w:lang w:eastAsia="en-US"/>
        </w:rPr>
        <w:t>the active service of user data can</w:t>
      </w:r>
      <w:r w:rsidR="00960E7E">
        <w:rPr>
          <w:szCs w:val="20"/>
          <w:lang w:eastAsia="en-US"/>
        </w:rPr>
        <w:t xml:space="preserve">not </w:t>
      </w:r>
      <w:r w:rsidR="00F20A52">
        <w:rPr>
          <w:szCs w:val="20"/>
          <w:lang w:eastAsia="en-US"/>
        </w:rPr>
        <w:t xml:space="preserve">be </w:t>
      </w:r>
      <w:r w:rsidR="00960E7E">
        <w:rPr>
          <w:szCs w:val="20"/>
          <w:lang w:eastAsia="en-US"/>
        </w:rPr>
        <w:t xml:space="preserve">always </w:t>
      </w:r>
      <w:r w:rsidR="00F20A52">
        <w:rPr>
          <w:szCs w:val="20"/>
          <w:lang w:eastAsia="en-US"/>
        </w:rPr>
        <w:t xml:space="preserve">provided to UEs. It would be beneficial to inform UE the pattern of active satellite beams so that UE does not need to monitor </w:t>
      </w:r>
      <w:r w:rsidR="00960E7E">
        <w:rPr>
          <w:szCs w:val="20"/>
          <w:lang w:eastAsia="en-US"/>
        </w:rPr>
        <w:t>inactive beams</w:t>
      </w:r>
      <w:bookmarkStart w:id="1" w:name="_GoBack"/>
      <w:bookmarkEnd w:id="1"/>
      <w:r w:rsidR="00F20A52">
        <w:rPr>
          <w:szCs w:val="20"/>
          <w:lang w:eastAsia="en-US"/>
        </w:rPr>
        <w:t xml:space="preserve">. </w:t>
      </w:r>
    </w:p>
    <w:p w14:paraId="40165925" w14:textId="568D2842" w:rsidR="00C83FC7" w:rsidRDefault="00C83FC7" w:rsidP="002F3B06">
      <w:pPr>
        <w:rPr>
          <w:szCs w:val="20"/>
          <w:lang w:eastAsia="en-US"/>
        </w:rPr>
      </w:pPr>
      <w:r>
        <w:rPr>
          <w:szCs w:val="20"/>
          <w:lang w:eastAsia="en-US"/>
        </w:rPr>
        <w:t>In another aspect, in order to enable as many as active satellite beams for DL coverage</w:t>
      </w:r>
      <w:r w:rsidR="005443A8">
        <w:rPr>
          <w:szCs w:val="20"/>
          <w:lang w:eastAsia="en-US"/>
        </w:rPr>
        <w:t xml:space="preserve"> with</w:t>
      </w:r>
      <w:r>
        <w:rPr>
          <w:szCs w:val="20"/>
          <w:lang w:eastAsia="en-US"/>
        </w:rPr>
        <w:t xml:space="preserve"> a limited total power, the power on certain DL channel</w:t>
      </w:r>
      <w:r w:rsidR="002C37AE">
        <w:rPr>
          <w:szCs w:val="20"/>
          <w:lang w:eastAsia="en-US"/>
        </w:rPr>
        <w:t>s</w:t>
      </w:r>
      <w:r>
        <w:rPr>
          <w:szCs w:val="20"/>
          <w:lang w:eastAsia="en-US"/>
        </w:rPr>
        <w:t xml:space="preserve"> could be limited or reduced. For this potential issue, DL repetition on certain channels can be considered to ensure reliable DL reception.</w:t>
      </w:r>
    </w:p>
    <w:p w14:paraId="4DC1C5CC" w14:textId="63DA9BA5" w:rsidR="00C83FC7" w:rsidRPr="002F3B06" w:rsidRDefault="00C83FC7" w:rsidP="002F3B06">
      <w:pPr>
        <w:rPr>
          <w:szCs w:val="20"/>
          <w:lang w:eastAsia="en-US"/>
        </w:rPr>
      </w:pPr>
      <w:r>
        <w:rPr>
          <w:szCs w:val="20"/>
          <w:lang w:eastAsia="en-US"/>
        </w:rPr>
        <w:t xml:space="preserve">In case DL coverage enhancement would be needed, the above two potential </w:t>
      </w:r>
      <w:r w:rsidR="003D6A6A">
        <w:rPr>
          <w:szCs w:val="20"/>
          <w:lang w:eastAsia="en-US"/>
        </w:rPr>
        <w:t xml:space="preserve">may need to be considered with RAN2 impacts. </w:t>
      </w:r>
      <w:r>
        <w:rPr>
          <w:szCs w:val="20"/>
          <w:lang w:eastAsia="en-US"/>
        </w:rPr>
        <w:t xml:space="preserve"> </w:t>
      </w:r>
    </w:p>
    <w:p w14:paraId="5FF2457F" w14:textId="72E1A9E3" w:rsidR="00A209D6" w:rsidRPr="006E13D1" w:rsidRDefault="008C3057" w:rsidP="003F11FC">
      <w:pPr>
        <w:pStyle w:val="Heading1"/>
        <w:jc w:val="both"/>
      </w:pPr>
      <w:r>
        <w:t>Conclusion</w:t>
      </w:r>
    </w:p>
    <w:p w14:paraId="6B206649" w14:textId="0FE95E15" w:rsidR="00C060FE" w:rsidRDefault="003D6A6A" w:rsidP="00FA3474">
      <w:pPr>
        <w:rPr>
          <w:lang w:eastAsia="ko-KR"/>
        </w:rPr>
      </w:pPr>
      <w:r>
        <w:rPr>
          <w:lang w:eastAsia="ko-KR"/>
        </w:rPr>
        <w:t>Based on the discussion above, we provide the following proposals.</w:t>
      </w:r>
    </w:p>
    <w:p w14:paraId="3988B723" w14:textId="77777777" w:rsidR="003D6A6A" w:rsidRDefault="003D6A6A" w:rsidP="003D6A6A">
      <w:pPr>
        <w:spacing w:after="0"/>
        <w:rPr>
          <w:b/>
          <w:szCs w:val="20"/>
          <w:lang w:eastAsia="en-US"/>
        </w:rPr>
      </w:pPr>
      <w:r w:rsidRPr="00434BA3">
        <w:rPr>
          <w:b/>
          <w:szCs w:val="20"/>
          <w:lang w:eastAsia="en-US"/>
        </w:rPr>
        <w:t xml:space="preserve">Proposal </w:t>
      </w:r>
      <w:r>
        <w:rPr>
          <w:b/>
          <w:szCs w:val="20"/>
          <w:lang w:eastAsia="en-US"/>
        </w:rPr>
        <w:t>1</w:t>
      </w:r>
      <w:r w:rsidRPr="00434BA3">
        <w:rPr>
          <w:b/>
          <w:szCs w:val="20"/>
          <w:lang w:eastAsia="en-US"/>
        </w:rPr>
        <w:t xml:space="preserve">: </w:t>
      </w:r>
      <w:r>
        <w:rPr>
          <w:b/>
          <w:szCs w:val="20"/>
          <w:lang w:eastAsia="en-US"/>
        </w:rPr>
        <w:t xml:space="preserve">RAN2 wait for RAN1 progress of DL coverage study, and discuss potential enhancement based on the study outcome. </w:t>
      </w:r>
    </w:p>
    <w:p w14:paraId="6408D72B" w14:textId="59651DF4" w:rsidR="0083484D" w:rsidRPr="00FF7C4E" w:rsidRDefault="00051DF8" w:rsidP="0083484D">
      <w:pPr>
        <w:pStyle w:val="Heading1"/>
      </w:pPr>
      <w:r>
        <w:t>Reference</w:t>
      </w:r>
      <w:r w:rsidR="0083484D" w:rsidRPr="00001886">
        <w:t xml:space="preserve"> </w:t>
      </w:r>
    </w:p>
    <w:p w14:paraId="69C535A8" w14:textId="1640F74C" w:rsidR="00D32165" w:rsidRPr="0043796F" w:rsidRDefault="00D32165" w:rsidP="0043796F">
      <w:pPr>
        <w:pStyle w:val="references"/>
        <w:spacing w:line="240" w:lineRule="auto"/>
        <w:rPr>
          <w:rFonts w:ascii="Arial" w:hAnsi="Arial" w:cs="Arial"/>
          <w:szCs w:val="20"/>
        </w:rPr>
      </w:pPr>
      <w:r>
        <w:rPr>
          <w:rFonts w:ascii="Arial" w:hAnsi="Arial" w:cs="Arial"/>
          <w:szCs w:val="20"/>
        </w:rPr>
        <w:t>RP-2</w:t>
      </w:r>
      <w:r w:rsidR="0091471D">
        <w:rPr>
          <w:rFonts w:ascii="Arial" w:hAnsi="Arial" w:cs="Arial"/>
          <w:szCs w:val="20"/>
        </w:rPr>
        <w:t>40</w:t>
      </w:r>
      <w:r w:rsidR="0043796F">
        <w:rPr>
          <w:rFonts w:ascii="Arial" w:hAnsi="Arial" w:cs="Arial"/>
          <w:szCs w:val="20"/>
        </w:rPr>
        <w:t>775</w:t>
      </w:r>
      <w:r>
        <w:rPr>
          <w:rFonts w:ascii="Arial" w:hAnsi="Arial" w:cs="Arial"/>
          <w:szCs w:val="20"/>
        </w:rPr>
        <w:t xml:space="preserve">, </w:t>
      </w:r>
      <w:r w:rsidR="0043796F" w:rsidRPr="0043796F">
        <w:rPr>
          <w:rFonts w:ascii="Arial" w:hAnsi="Arial" w:cs="Arial"/>
          <w:szCs w:val="20"/>
        </w:rPr>
        <w:t>Revised WID: Non-Terrestrial Networks (NTN) for NR Phase 3</w:t>
      </w:r>
      <w:r w:rsidR="0095226D">
        <w:rPr>
          <w:rFonts w:ascii="Arial" w:hAnsi="Arial" w:cs="Arial"/>
          <w:szCs w:val="20"/>
        </w:rPr>
        <w:t>.</w:t>
      </w:r>
    </w:p>
    <w:p w14:paraId="7DE0901A" w14:textId="79DC5F4D" w:rsidR="009607A6" w:rsidRPr="00AC73D8" w:rsidRDefault="00AC73D8" w:rsidP="00AC73D8">
      <w:pPr>
        <w:pStyle w:val="references"/>
        <w:rPr>
          <w:rFonts w:ascii="Arial" w:hAnsi="Arial" w:cs="Arial"/>
          <w:szCs w:val="20"/>
        </w:rPr>
      </w:pPr>
      <w:r w:rsidRPr="00AC73D8">
        <w:rPr>
          <w:rFonts w:ascii="Arial" w:hAnsi="Arial" w:cs="Arial"/>
          <w:szCs w:val="20"/>
        </w:rPr>
        <w:t>3GPP TSG RAN WG1 #116, RAN1 Chair’s Notes</w:t>
      </w:r>
      <w:r>
        <w:rPr>
          <w:rFonts w:ascii="Arial" w:hAnsi="Arial" w:cs="Arial"/>
          <w:szCs w:val="20"/>
        </w:rPr>
        <w:t>, A</w:t>
      </w:r>
      <w:r w:rsidRPr="00AC73D8">
        <w:rPr>
          <w:rFonts w:ascii="Arial" w:hAnsi="Arial" w:cs="Arial"/>
          <w:szCs w:val="20"/>
        </w:rPr>
        <w:t>thens, Greece, February 26th – March 1st, 2024</w:t>
      </w:r>
      <w:r w:rsidR="0095226D">
        <w:rPr>
          <w:rFonts w:ascii="Arial" w:hAnsi="Arial" w:cs="Arial"/>
          <w:szCs w:val="20"/>
        </w:rPr>
        <w:t>.</w:t>
      </w:r>
    </w:p>
    <w:sectPr w:rsidR="009607A6" w:rsidRPr="00AC73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6283C" w14:textId="77777777" w:rsidR="004D4A1D" w:rsidRDefault="004D4A1D" w:rsidP="00051DF8">
      <w:r>
        <w:separator/>
      </w:r>
    </w:p>
  </w:endnote>
  <w:endnote w:type="continuationSeparator" w:id="0">
    <w:p w14:paraId="0685AB21" w14:textId="77777777" w:rsidR="004D4A1D" w:rsidRDefault="004D4A1D" w:rsidP="00051DF8">
      <w:r>
        <w:continuationSeparator/>
      </w:r>
    </w:p>
  </w:endnote>
  <w:endnote w:type="continuationNotice" w:id="1">
    <w:p w14:paraId="72B0A0F7" w14:textId="77777777" w:rsidR="004D4A1D" w:rsidRDefault="004D4A1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BFFF4" w14:textId="77777777" w:rsidR="004D4A1D" w:rsidRDefault="004D4A1D" w:rsidP="00051DF8">
      <w:r>
        <w:separator/>
      </w:r>
    </w:p>
  </w:footnote>
  <w:footnote w:type="continuationSeparator" w:id="0">
    <w:p w14:paraId="01FE2E2E" w14:textId="77777777" w:rsidR="004D4A1D" w:rsidRDefault="004D4A1D" w:rsidP="00051DF8">
      <w:r>
        <w:continuationSeparator/>
      </w:r>
    </w:p>
  </w:footnote>
  <w:footnote w:type="continuationNotice" w:id="1">
    <w:p w14:paraId="65EB265C" w14:textId="77777777" w:rsidR="004D4A1D" w:rsidRDefault="004D4A1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6" w15:restartNumberingAfterBreak="0">
    <w:nsid w:val="7C01073B"/>
    <w:multiLevelType w:val="hybridMultilevel"/>
    <w:tmpl w:val="40381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C81CA8"/>
    <w:multiLevelType w:val="hybridMultilevel"/>
    <w:tmpl w:val="98D6F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40"/>
  </w:num>
  <w:num w:numId="3">
    <w:abstractNumId w:val="29"/>
  </w:num>
  <w:num w:numId="4">
    <w:abstractNumId w:val="25"/>
  </w:num>
  <w:num w:numId="5">
    <w:abstractNumId w:val="26"/>
  </w:num>
  <w:num w:numId="6">
    <w:abstractNumId w:val="22"/>
  </w:num>
  <w:num w:numId="7">
    <w:abstractNumId w:val="15"/>
  </w:num>
  <w:num w:numId="8">
    <w:abstractNumId w:val="27"/>
  </w:num>
  <w:num w:numId="9">
    <w:abstractNumId w:val="17"/>
  </w:num>
  <w:num w:numId="10">
    <w:abstractNumId w:val="24"/>
  </w:num>
  <w:num w:numId="11">
    <w:abstractNumId w:val="1"/>
  </w:num>
  <w:num w:numId="12">
    <w:abstractNumId w:val="4"/>
  </w:num>
  <w:num w:numId="13">
    <w:abstractNumId w:val="30"/>
  </w:num>
  <w:num w:numId="14">
    <w:abstractNumId w:val="0"/>
  </w:num>
  <w:num w:numId="15">
    <w:abstractNumId w:val="28"/>
  </w:num>
  <w:num w:numId="16">
    <w:abstractNumId w:val="34"/>
  </w:num>
  <w:num w:numId="17">
    <w:abstractNumId w:val="37"/>
  </w:num>
  <w:num w:numId="18">
    <w:abstractNumId w:val="44"/>
  </w:num>
  <w:num w:numId="19">
    <w:abstractNumId w:val="19"/>
  </w:num>
  <w:num w:numId="20">
    <w:abstractNumId w:val="32"/>
  </w:num>
  <w:num w:numId="21">
    <w:abstractNumId w:val="3"/>
  </w:num>
  <w:num w:numId="22">
    <w:abstractNumId w:val="6"/>
  </w:num>
  <w:num w:numId="23">
    <w:abstractNumId w:val="42"/>
  </w:num>
  <w:num w:numId="24">
    <w:abstractNumId w:val="8"/>
  </w:num>
  <w:num w:numId="25">
    <w:abstractNumId w:val="35"/>
  </w:num>
  <w:num w:numId="26">
    <w:abstractNumId w:val="18"/>
  </w:num>
  <w:num w:numId="27">
    <w:abstractNumId w:val="7"/>
  </w:num>
  <w:num w:numId="28">
    <w:abstractNumId w:val="23"/>
  </w:num>
  <w:num w:numId="29">
    <w:abstractNumId w:val="12"/>
  </w:num>
  <w:num w:numId="30">
    <w:abstractNumId w:val="45"/>
  </w:num>
  <w:num w:numId="31">
    <w:abstractNumId w:val="41"/>
  </w:num>
  <w:num w:numId="32">
    <w:abstractNumId w:val="11"/>
  </w:num>
  <w:num w:numId="33">
    <w:abstractNumId w:val="20"/>
  </w:num>
  <w:num w:numId="34">
    <w:abstractNumId w:val="21"/>
  </w:num>
  <w:num w:numId="35">
    <w:abstractNumId w:val="36"/>
  </w:num>
  <w:num w:numId="36">
    <w:abstractNumId w:val="5"/>
  </w:num>
  <w:num w:numId="37">
    <w:abstractNumId w:val="10"/>
  </w:num>
  <w:num w:numId="38">
    <w:abstractNumId w:val="31"/>
  </w:num>
  <w:num w:numId="39">
    <w:abstractNumId w:val="13"/>
  </w:num>
  <w:num w:numId="40">
    <w:abstractNumId w:val="14"/>
  </w:num>
  <w:num w:numId="41">
    <w:abstractNumId w:val="33"/>
  </w:num>
  <w:num w:numId="42">
    <w:abstractNumId w:val="16"/>
  </w:num>
  <w:num w:numId="43">
    <w:abstractNumId w:val="2"/>
  </w:num>
  <w:num w:numId="44">
    <w:abstractNumId w:val="39"/>
  </w:num>
  <w:num w:numId="45">
    <w:abstractNumId w:val="43"/>
  </w:num>
  <w:num w:numId="46">
    <w:abstractNumId w:val="46"/>
  </w:num>
  <w:num w:numId="47">
    <w:abstractNumId w:val="48"/>
  </w:num>
  <w:num w:numId="48">
    <w:abstractNumId w:val="47"/>
  </w:num>
  <w:num w:numId="49">
    <w:abstractNumId w:val="9"/>
  </w:num>
  <w:num w:numId="50">
    <w:abstractNumId w:val="4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05C3"/>
    <w:rsid w:val="00032642"/>
    <w:rsid w:val="00033313"/>
    <w:rsid w:val="00033328"/>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32AD"/>
    <w:rsid w:val="0005588D"/>
    <w:rsid w:val="00060D3E"/>
    <w:rsid w:val="00064501"/>
    <w:rsid w:val="000647B6"/>
    <w:rsid w:val="00064A09"/>
    <w:rsid w:val="00064E50"/>
    <w:rsid w:val="00065268"/>
    <w:rsid w:val="00067C3C"/>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D7DDB"/>
    <w:rsid w:val="000E01FF"/>
    <w:rsid w:val="000E22C8"/>
    <w:rsid w:val="000E3934"/>
    <w:rsid w:val="000E4069"/>
    <w:rsid w:val="000E5108"/>
    <w:rsid w:val="000E6808"/>
    <w:rsid w:val="000F1FE3"/>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1BB4"/>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4AE"/>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35E"/>
    <w:rsid w:val="001F168B"/>
    <w:rsid w:val="001F4157"/>
    <w:rsid w:val="001F7831"/>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37AE"/>
    <w:rsid w:val="002C4BB9"/>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B06"/>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09DA"/>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C6E"/>
    <w:rsid w:val="00390D6B"/>
    <w:rsid w:val="0039346C"/>
    <w:rsid w:val="00395772"/>
    <w:rsid w:val="0039670E"/>
    <w:rsid w:val="003972FF"/>
    <w:rsid w:val="00397C21"/>
    <w:rsid w:val="003A1069"/>
    <w:rsid w:val="003A133F"/>
    <w:rsid w:val="003A229C"/>
    <w:rsid w:val="003A3DB5"/>
    <w:rsid w:val="003A41EF"/>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D6A6A"/>
    <w:rsid w:val="003E01A2"/>
    <w:rsid w:val="003E06FD"/>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80C"/>
    <w:rsid w:val="00427D3B"/>
    <w:rsid w:val="00431669"/>
    <w:rsid w:val="004322B3"/>
    <w:rsid w:val="00432BC9"/>
    <w:rsid w:val="00432BE2"/>
    <w:rsid w:val="00432F4A"/>
    <w:rsid w:val="00434BA3"/>
    <w:rsid w:val="0043796F"/>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0DC0"/>
    <w:rsid w:val="00473C72"/>
    <w:rsid w:val="0047489A"/>
    <w:rsid w:val="00474B04"/>
    <w:rsid w:val="00477252"/>
    <w:rsid w:val="00477455"/>
    <w:rsid w:val="004779FB"/>
    <w:rsid w:val="00487060"/>
    <w:rsid w:val="004901A6"/>
    <w:rsid w:val="00490325"/>
    <w:rsid w:val="00490B45"/>
    <w:rsid w:val="00490C92"/>
    <w:rsid w:val="0049282E"/>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4A1D"/>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0F69"/>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7568"/>
    <w:rsid w:val="00542000"/>
    <w:rsid w:val="005438E7"/>
    <w:rsid w:val="00543E6C"/>
    <w:rsid w:val="005443A8"/>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12CA"/>
    <w:rsid w:val="00583007"/>
    <w:rsid w:val="00584044"/>
    <w:rsid w:val="0058460B"/>
    <w:rsid w:val="00591E74"/>
    <w:rsid w:val="0059328F"/>
    <w:rsid w:val="00594B6F"/>
    <w:rsid w:val="00595AAB"/>
    <w:rsid w:val="00596097"/>
    <w:rsid w:val="00596B5D"/>
    <w:rsid w:val="0059778B"/>
    <w:rsid w:val="005A1953"/>
    <w:rsid w:val="005A36F1"/>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28FB"/>
    <w:rsid w:val="005F0D6D"/>
    <w:rsid w:val="005F18DF"/>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114"/>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67782"/>
    <w:rsid w:val="00670C14"/>
    <w:rsid w:val="00671109"/>
    <w:rsid w:val="00672522"/>
    <w:rsid w:val="00674D79"/>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514A"/>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E0403"/>
    <w:rsid w:val="006E1057"/>
    <w:rsid w:val="006E1417"/>
    <w:rsid w:val="006E19AF"/>
    <w:rsid w:val="006E22C3"/>
    <w:rsid w:val="006E401D"/>
    <w:rsid w:val="006E4AE6"/>
    <w:rsid w:val="006F4552"/>
    <w:rsid w:val="006F4C4E"/>
    <w:rsid w:val="006F69EC"/>
    <w:rsid w:val="006F6A2C"/>
    <w:rsid w:val="00701313"/>
    <w:rsid w:val="00701323"/>
    <w:rsid w:val="00705BC0"/>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7100"/>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E43E4"/>
    <w:rsid w:val="007E648C"/>
    <w:rsid w:val="007F03B5"/>
    <w:rsid w:val="007F09F2"/>
    <w:rsid w:val="007F2D37"/>
    <w:rsid w:val="007F2E08"/>
    <w:rsid w:val="007F4297"/>
    <w:rsid w:val="007F5E89"/>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689F"/>
    <w:rsid w:val="00827B46"/>
    <w:rsid w:val="00827D94"/>
    <w:rsid w:val="00830B22"/>
    <w:rsid w:val="00830E1C"/>
    <w:rsid w:val="00830EBB"/>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40212"/>
    <w:rsid w:val="009428FC"/>
    <w:rsid w:val="00942EC2"/>
    <w:rsid w:val="00944EC6"/>
    <w:rsid w:val="00945B9B"/>
    <w:rsid w:val="009504CA"/>
    <w:rsid w:val="009505D8"/>
    <w:rsid w:val="009508D2"/>
    <w:rsid w:val="00950B99"/>
    <w:rsid w:val="00951780"/>
    <w:rsid w:val="0095226D"/>
    <w:rsid w:val="00952941"/>
    <w:rsid w:val="00952D55"/>
    <w:rsid w:val="0095343C"/>
    <w:rsid w:val="00955E64"/>
    <w:rsid w:val="00955FB6"/>
    <w:rsid w:val="0095778B"/>
    <w:rsid w:val="009607A6"/>
    <w:rsid w:val="00960E7E"/>
    <w:rsid w:val="00961B32"/>
    <w:rsid w:val="00962455"/>
    <w:rsid w:val="00962509"/>
    <w:rsid w:val="00965E6D"/>
    <w:rsid w:val="00970666"/>
    <w:rsid w:val="00970DB3"/>
    <w:rsid w:val="00971A5C"/>
    <w:rsid w:val="0097280A"/>
    <w:rsid w:val="00972FBD"/>
    <w:rsid w:val="00973D04"/>
    <w:rsid w:val="00973D67"/>
    <w:rsid w:val="00974218"/>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4FD"/>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7467"/>
    <w:rsid w:val="009D74A6"/>
    <w:rsid w:val="009E0B98"/>
    <w:rsid w:val="009E0E87"/>
    <w:rsid w:val="009E10EF"/>
    <w:rsid w:val="009E27EA"/>
    <w:rsid w:val="009E2DC5"/>
    <w:rsid w:val="009E2F4E"/>
    <w:rsid w:val="009E5449"/>
    <w:rsid w:val="009E55AC"/>
    <w:rsid w:val="009E709B"/>
    <w:rsid w:val="009E7EC4"/>
    <w:rsid w:val="009F2CB9"/>
    <w:rsid w:val="009F3043"/>
    <w:rsid w:val="009F445F"/>
    <w:rsid w:val="009F4AE1"/>
    <w:rsid w:val="009F51F6"/>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C3AD3"/>
    <w:rsid w:val="00AC4D2C"/>
    <w:rsid w:val="00AC507F"/>
    <w:rsid w:val="00AC5D59"/>
    <w:rsid w:val="00AC6887"/>
    <w:rsid w:val="00AC73D8"/>
    <w:rsid w:val="00AD3082"/>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0218"/>
    <w:rsid w:val="00B413F2"/>
    <w:rsid w:val="00B422C6"/>
    <w:rsid w:val="00B423D7"/>
    <w:rsid w:val="00B4636F"/>
    <w:rsid w:val="00B46570"/>
    <w:rsid w:val="00B46733"/>
    <w:rsid w:val="00B46E85"/>
    <w:rsid w:val="00B47C49"/>
    <w:rsid w:val="00B47FD1"/>
    <w:rsid w:val="00B50369"/>
    <w:rsid w:val="00B51007"/>
    <w:rsid w:val="00B516BB"/>
    <w:rsid w:val="00B53DBA"/>
    <w:rsid w:val="00B54E39"/>
    <w:rsid w:val="00B55159"/>
    <w:rsid w:val="00B606E6"/>
    <w:rsid w:val="00B60D60"/>
    <w:rsid w:val="00B626F4"/>
    <w:rsid w:val="00B65060"/>
    <w:rsid w:val="00B657DE"/>
    <w:rsid w:val="00B65AA8"/>
    <w:rsid w:val="00B6672E"/>
    <w:rsid w:val="00B66E42"/>
    <w:rsid w:val="00B710DA"/>
    <w:rsid w:val="00B726D8"/>
    <w:rsid w:val="00B72962"/>
    <w:rsid w:val="00B73674"/>
    <w:rsid w:val="00B7538C"/>
    <w:rsid w:val="00B76953"/>
    <w:rsid w:val="00B8075F"/>
    <w:rsid w:val="00B84B49"/>
    <w:rsid w:val="00B84DB2"/>
    <w:rsid w:val="00B873FD"/>
    <w:rsid w:val="00B965D1"/>
    <w:rsid w:val="00B97428"/>
    <w:rsid w:val="00BA18CB"/>
    <w:rsid w:val="00BA1A49"/>
    <w:rsid w:val="00BA2421"/>
    <w:rsid w:val="00BA55D1"/>
    <w:rsid w:val="00BA56A5"/>
    <w:rsid w:val="00BA56AC"/>
    <w:rsid w:val="00BB0EE6"/>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1AA8"/>
    <w:rsid w:val="00C23F90"/>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3FC7"/>
    <w:rsid w:val="00C844F8"/>
    <w:rsid w:val="00C86F10"/>
    <w:rsid w:val="00C9068C"/>
    <w:rsid w:val="00C91F36"/>
    <w:rsid w:val="00C92831"/>
    <w:rsid w:val="00C92967"/>
    <w:rsid w:val="00C94794"/>
    <w:rsid w:val="00CA0FF2"/>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5639"/>
    <w:rsid w:val="00D06125"/>
    <w:rsid w:val="00D06188"/>
    <w:rsid w:val="00D12DDB"/>
    <w:rsid w:val="00D1769D"/>
    <w:rsid w:val="00D24051"/>
    <w:rsid w:val="00D24C0D"/>
    <w:rsid w:val="00D30635"/>
    <w:rsid w:val="00D30A43"/>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0D1"/>
    <w:rsid w:val="00D52FC5"/>
    <w:rsid w:val="00D54EDD"/>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6554"/>
    <w:rsid w:val="00DF6C1E"/>
    <w:rsid w:val="00DF7834"/>
    <w:rsid w:val="00E00D16"/>
    <w:rsid w:val="00E0144C"/>
    <w:rsid w:val="00E02228"/>
    <w:rsid w:val="00E0267E"/>
    <w:rsid w:val="00E053D4"/>
    <w:rsid w:val="00E05880"/>
    <w:rsid w:val="00E06E2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3F8A"/>
    <w:rsid w:val="00E74E5E"/>
    <w:rsid w:val="00E75C0F"/>
    <w:rsid w:val="00E76044"/>
    <w:rsid w:val="00E766EC"/>
    <w:rsid w:val="00E77645"/>
    <w:rsid w:val="00E833D1"/>
    <w:rsid w:val="00E83697"/>
    <w:rsid w:val="00E859B6"/>
    <w:rsid w:val="00E8654C"/>
    <w:rsid w:val="00E86809"/>
    <w:rsid w:val="00E86D6D"/>
    <w:rsid w:val="00E90402"/>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15D"/>
    <w:rsid w:val="00EC5498"/>
    <w:rsid w:val="00EC6C86"/>
    <w:rsid w:val="00EC6F51"/>
    <w:rsid w:val="00EC7DFE"/>
    <w:rsid w:val="00ED0457"/>
    <w:rsid w:val="00ED112E"/>
    <w:rsid w:val="00ED15CB"/>
    <w:rsid w:val="00ED1BAA"/>
    <w:rsid w:val="00ED24E4"/>
    <w:rsid w:val="00ED40AC"/>
    <w:rsid w:val="00ED4FE8"/>
    <w:rsid w:val="00ED56E2"/>
    <w:rsid w:val="00ED6022"/>
    <w:rsid w:val="00ED6069"/>
    <w:rsid w:val="00ED6F9A"/>
    <w:rsid w:val="00ED75F3"/>
    <w:rsid w:val="00EE00AC"/>
    <w:rsid w:val="00EE013E"/>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0A52"/>
    <w:rsid w:val="00F2210A"/>
    <w:rsid w:val="00F23E2E"/>
    <w:rsid w:val="00F247F6"/>
    <w:rsid w:val="00F25696"/>
    <w:rsid w:val="00F25CE3"/>
    <w:rsid w:val="00F26EB7"/>
    <w:rsid w:val="00F273DC"/>
    <w:rsid w:val="00F274F1"/>
    <w:rsid w:val="00F275A1"/>
    <w:rsid w:val="00F3039A"/>
    <w:rsid w:val="00F303CC"/>
    <w:rsid w:val="00F31372"/>
    <w:rsid w:val="00F341BE"/>
    <w:rsid w:val="00F3485F"/>
    <w:rsid w:val="00F34F8C"/>
    <w:rsid w:val="00F36DFC"/>
    <w:rsid w:val="00F37678"/>
    <w:rsid w:val="00F37743"/>
    <w:rsid w:val="00F40A33"/>
    <w:rsid w:val="00F41159"/>
    <w:rsid w:val="00F43661"/>
    <w:rsid w:val="00F4460D"/>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590E"/>
    <w:rsid w:val="00FD6EDB"/>
    <w:rsid w:val="00FD70B9"/>
    <w:rsid w:val="00FE106D"/>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1D7EB-ADC1-4398-B9C9-AC15DB158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2024-04-05T03:51:00Z</dcterms:created>
  <dcterms:modified xsi:type="dcterms:W3CDTF">2024-04-05T03:51:00Z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